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CEE" w:rsidRDefault="00EA7CEE" w:rsidP="00EA7CEE">
      <w:pPr>
        <w:bidi/>
        <w:spacing w:after="0" w:line="240" w:lineRule="auto"/>
      </w:pP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اقسام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 w:rsidR="007F75AA">
        <w:rPr>
          <w:rFonts w:cs="Arial"/>
          <w:rtl/>
        </w:rPr>
        <w:t xml:space="preserve"> </w:t>
      </w:r>
      <w:r w:rsidR="007F75AA">
        <w:rPr>
          <w:rFonts w:cs="Arial" w:hint="cs"/>
          <w:rtl/>
        </w:rPr>
        <w:t>«</w:t>
      </w:r>
      <w:r w:rsidR="007F75AA">
        <w:rPr>
          <w:rFonts w:cs="Arial" w:hint="eastAsia"/>
          <w:rtl/>
        </w:rPr>
        <w:t>صدقه</w:t>
      </w:r>
      <w:r w:rsidR="007F75AA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حبس،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اصطلاحي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تمليک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قربت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زکات</w:t>
      </w:r>
      <w:r w:rsidR="007F75AA">
        <w:rPr>
          <w:rFonts w:cs="Arial"/>
          <w:rtl/>
        </w:rPr>
        <w:t xml:space="preserve"> </w:t>
      </w:r>
      <w:r w:rsidR="007F75AA">
        <w:rPr>
          <w:rFonts w:cs="Arial" w:hint="cs"/>
          <w:rtl/>
        </w:rPr>
        <w:t>(</w:t>
      </w:r>
      <w:r>
        <w:rPr>
          <w:rFonts w:cs="Arial" w:hint="eastAsia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بدني</w:t>
      </w:r>
      <w:r w:rsidR="007F75AA"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الصدقات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للفقراء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A7CEE" w:rsidRDefault="00EA7CEE" w:rsidP="00EA7CEE">
      <w:pPr>
        <w:bidi/>
        <w:spacing w:after="0" w:line="240" w:lineRule="auto"/>
      </w:pP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تحبيس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منفعت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نبوي</w:t>
      </w:r>
      <w:r w:rsidR="007F75AA">
        <w:rPr>
          <w:rFonts w:cs="Arial"/>
          <w:rtl/>
        </w:rPr>
        <w:t xml:space="preserve"> </w:t>
      </w:r>
      <w:r w:rsidR="007F75AA">
        <w:rPr>
          <w:rFonts w:cs="Arial" w:hint="cs"/>
          <w:rtl/>
        </w:rPr>
        <w:t>(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</w:t>
      </w:r>
      <w:r w:rsidR="007F75AA">
        <w:rPr>
          <w:rFonts w:cs="Arial" w:hint="cs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الثمرة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>.</w:t>
      </w:r>
    </w:p>
    <w:p w:rsidR="00EA7CEE" w:rsidRDefault="00EA7CEE" w:rsidP="00EA7CE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ترغيب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</w:p>
    <w:p w:rsidR="00EA7CEE" w:rsidRDefault="00EA7CEE" w:rsidP="007F75AA">
      <w:pPr>
        <w:bidi/>
        <w:spacing w:after="0" w:line="240" w:lineRule="auto"/>
      </w:pPr>
      <w:r>
        <w:rPr>
          <w:rFonts w:cs="Arial" w:hint="eastAsia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مختومه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 w:rsidR="007F75AA">
        <w:rPr>
          <w:rFonts w:cs="Arial"/>
          <w:rtl/>
        </w:rPr>
        <w:t xml:space="preserve">: </w:t>
      </w:r>
      <w:r w:rsidR="007F75AA">
        <w:rPr>
          <w:rFonts w:cs="Arial" w:hint="cs"/>
          <w:rtl/>
        </w:rPr>
        <w:t>«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جاريه</w:t>
      </w:r>
      <w:r w:rsidR="007F75AA">
        <w:rPr>
          <w:rFonts w:cs="Arial"/>
          <w:rtl/>
        </w:rPr>
        <w:t>.</w:t>
      </w:r>
      <w:r w:rsidR="007F75AA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</w:p>
    <w:p w:rsidR="00613EB2" w:rsidRDefault="007F75AA" w:rsidP="007F75AA">
      <w:pPr>
        <w:bidi/>
        <w:spacing w:after="0" w:line="240" w:lineRule="auto"/>
        <w:rPr>
          <w:lang w:bidi="fa-IR"/>
        </w:rPr>
      </w:pPr>
      <w:r>
        <w:rPr>
          <w:rFonts w:cs="Arial" w:hint="cs"/>
          <w:rtl/>
          <w:lang w:bidi="fa-IR"/>
        </w:rPr>
        <w:t xml:space="preserve">نویسنده در این کتاب به بررسی احکام وقف پرداخته است و مباحث آن به سه بخش اصلی 1-متن عربی 2-ترجمه فارسی 3-نگاهی به مبحث وقف در قانون مدنی تقسیم بندی شده که در دسترس شما عزیزان قرار داده می شود.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859A8"/>
    <w:rsid w:val="007B5A3F"/>
    <w:rsid w:val="007F75AA"/>
    <w:rsid w:val="00984D0A"/>
    <w:rsid w:val="00EA7CEE"/>
    <w:rsid w:val="00F121BF"/>
    <w:rsid w:val="00F37281"/>
    <w:rsid w:val="00FD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2007-05-23T22:34:00Z</dcterms:modified>
</cp:coreProperties>
</file>